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CB8" w:rsidRPr="00403CB8" w:rsidRDefault="00403CB8" w:rsidP="00403CB8">
      <w:pPr>
        <w:spacing w:before="100" w:beforeAutospacing="1" w:after="100" w:afterAutospacing="1" w:line="240" w:lineRule="auto"/>
        <w:jc w:val="center"/>
        <w:outlineLvl w:val="0"/>
        <w:rPr>
          <w:rFonts w:ascii="Times New Roman" w:eastAsia="Times New Roman" w:hAnsi="Times New Roman" w:cs="David" w:hint="cs"/>
          <w:b/>
          <w:bCs/>
          <w:color w:val="0070C0"/>
          <w:kern w:val="36"/>
          <w:sz w:val="36"/>
          <w:szCs w:val="36"/>
          <w:u w:val="single"/>
          <w:rtl/>
        </w:rPr>
      </w:pPr>
      <w:r w:rsidRPr="00403CB8">
        <w:rPr>
          <w:rFonts w:ascii="Times New Roman" w:eastAsia="Times New Roman" w:hAnsi="Times New Roman" w:cs="David"/>
          <w:b/>
          <w:bCs/>
          <w:color w:val="0070C0"/>
          <w:kern w:val="36"/>
          <w:sz w:val="36"/>
          <w:szCs w:val="36"/>
          <w:u w:val="single"/>
          <w:rtl/>
        </w:rPr>
        <w:t>הרפורמה ברישוי עסקים</w:t>
      </w:r>
    </w:p>
    <w:p w:rsidR="00403CB8" w:rsidRPr="00403CB8" w:rsidRDefault="00403CB8" w:rsidP="00403CB8">
      <w:pPr>
        <w:spacing w:after="160" w:line="259" w:lineRule="auto"/>
        <w:rPr>
          <w:rFonts w:cs="David"/>
          <w:b/>
          <w:bCs/>
          <w:color w:val="0070C0"/>
          <w:sz w:val="24"/>
          <w:szCs w:val="24"/>
          <w:u w:val="single"/>
        </w:rPr>
      </w:pPr>
      <w:r w:rsidRPr="00403CB8">
        <w:rPr>
          <w:rFonts w:cs="David"/>
          <w:b/>
          <w:bCs/>
          <w:color w:val="0070C0"/>
          <w:sz w:val="24"/>
          <w:szCs w:val="24"/>
          <w:u w:val="single"/>
          <w:rtl/>
        </w:rPr>
        <w:t>מטרת הרפורמה</w:t>
      </w:r>
      <w:r w:rsidRPr="00403CB8">
        <w:rPr>
          <w:rFonts w:cs="David"/>
          <w:b/>
          <w:bCs/>
          <w:color w:val="0070C0"/>
          <w:sz w:val="24"/>
          <w:szCs w:val="24"/>
          <w:u w:val="single"/>
        </w:rPr>
        <w:t>:</w:t>
      </w:r>
    </w:p>
    <w:p w:rsidR="00403CB8" w:rsidRPr="00403CB8" w:rsidRDefault="00403CB8" w:rsidP="00403CB8">
      <w:pPr>
        <w:rPr>
          <w:rFonts w:cs="David"/>
          <w:sz w:val="24"/>
          <w:szCs w:val="24"/>
        </w:rPr>
      </w:pPr>
      <w:r w:rsidRPr="00403CB8">
        <w:rPr>
          <w:rFonts w:cs="David"/>
          <w:sz w:val="24"/>
          <w:szCs w:val="24"/>
          <w:rtl/>
        </w:rPr>
        <w:t>מדינת ישראל פועלת לקידום רפורמה בתחום רישוי עסקים, שמטרתה להסיר חסמים, לשפר וליעל את הליכי הרישוי ולהביא למינוף עסקים באופן שיתרום לחוסן ולאיתנות הכלכלית של הרשות. להקל ככל הניתן על בעלי עסקים ועל המעוניינים לפתוח עסקים חדשים. זאת, תוך כדי הקפדה על המשך הפיקוח על העסקים על-מנת להבטיח את מטרות חוק רישוי עסקים</w:t>
      </w:r>
      <w:r w:rsidRPr="00403CB8">
        <w:rPr>
          <w:rFonts w:cs="David"/>
          <w:sz w:val="24"/>
          <w:szCs w:val="24"/>
        </w:rPr>
        <w:t>.</w:t>
      </w:r>
    </w:p>
    <w:p w:rsidR="00403CB8" w:rsidRPr="00403CB8" w:rsidRDefault="00403CB8" w:rsidP="00403CB8">
      <w:pPr>
        <w:rPr>
          <w:rFonts w:cs="David"/>
          <w:sz w:val="24"/>
          <w:szCs w:val="24"/>
        </w:rPr>
      </w:pPr>
      <w:r w:rsidRPr="00403CB8">
        <w:rPr>
          <w:rFonts w:cs="David"/>
          <w:sz w:val="24"/>
          <w:szCs w:val="24"/>
          <w:rtl/>
        </w:rPr>
        <w:t xml:space="preserve">במסגרת הרפורמה מפורט בזאת מפרט המועצה המאחד את המסמכים והתנאים הנדרשים מבעל העסק לקבלת רישיון עסק או חידושו לפי חוק רישוי עסקים </w:t>
      </w:r>
      <w:proofErr w:type="spellStart"/>
      <w:r w:rsidRPr="00403CB8">
        <w:rPr>
          <w:rFonts w:cs="David"/>
          <w:sz w:val="24"/>
          <w:szCs w:val="24"/>
          <w:rtl/>
        </w:rPr>
        <w:t>התשכ"ח</w:t>
      </w:r>
      <w:proofErr w:type="spellEnd"/>
      <w:r w:rsidRPr="00403CB8">
        <w:rPr>
          <w:rFonts w:cs="David"/>
          <w:sz w:val="24"/>
          <w:szCs w:val="24"/>
          <w:rtl/>
        </w:rPr>
        <w:t xml:space="preserve"> – 1968</w:t>
      </w:r>
      <w:r w:rsidRPr="00403CB8">
        <w:rPr>
          <w:rFonts w:cs="David"/>
          <w:sz w:val="24"/>
          <w:szCs w:val="24"/>
        </w:rPr>
        <w:t>.</w:t>
      </w:r>
      <w:r w:rsidRPr="00403CB8">
        <w:rPr>
          <w:rFonts w:cs="David"/>
          <w:sz w:val="24"/>
          <w:szCs w:val="24"/>
        </w:rPr>
        <w:br/>
      </w:r>
      <w:r w:rsidRPr="00403CB8">
        <w:rPr>
          <w:rFonts w:cs="David"/>
          <w:sz w:val="24"/>
          <w:szCs w:val="24"/>
          <w:rtl/>
        </w:rPr>
        <w:t>המפרט עוסק בסוגי עסקים המופעים בצו רישוי עסקים (עסקים טעוני רישוי) התשע"ג2013 (להלן: "המפרט האחיד</w:t>
      </w:r>
      <w:r w:rsidRPr="00403CB8">
        <w:rPr>
          <w:rFonts w:cs="David"/>
          <w:sz w:val="24"/>
          <w:szCs w:val="24"/>
        </w:rPr>
        <w:t>"</w:t>
      </w:r>
      <w:r>
        <w:rPr>
          <w:rFonts w:cs="David" w:hint="cs"/>
          <w:sz w:val="24"/>
          <w:szCs w:val="24"/>
          <w:rtl/>
        </w:rPr>
        <w:t>)</w:t>
      </w:r>
      <w:bookmarkStart w:id="0" w:name="_GoBack"/>
      <w:bookmarkEnd w:id="0"/>
      <w:r w:rsidRPr="00403CB8">
        <w:rPr>
          <w:rFonts w:cs="David"/>
          <w:sz w:val="24"/>
          <w:szCs w:val="24"/>
        </w:rPr>
        <w:t>.</w:t>
      </w:r>
    </w:p>
    <w:p w:rsidR="00403CB8" w:rsidRPr="00403CB8" w:rsidRDefault="00403CB8" w:rsidP="00403CB8">
      <w:pPr>
        <w:rPr>
          <w:rFonts w:cs="David"/>
          <w:b/>
          <w:bCs/>
          <w:color w:val="0070C0"/>
          <w:sz w:val="24"/>
          <w:szCs w:val="24"/>
          <w:u w:val="single"/>
        </w:rPr>
      </w:pPr>
      <w:r w:rsidRPr="00403CB8">
        <w:rPr>
          <w:rFonts w:cs="David"/>
          <w:sz w:val="24"/>
          <w:szCs w:val="24"/>
        </w:rPr>
        <w:t> </w:t>
      </w:r>
      <w:r w:rsidRPr="00403CB8">
        <w:rPr>
          <w:rFonts w:cs="David"/>
          <w:b/>
          <w:bCs/>
          <w:color w:val="0070C0"/>
          <w:sz w:val="24"/>
          <w:szCs w:val="24"/>
          <w:u w:val="single"/>
          <w:rtl/>
        </w:rPr>
        <w:t>עיקרי הרפורמה</w:t>
      </w:r>
      <w:r w:rsidRPr="00403CB8">
        <w:rPr>
          <w:rFonts w:cs="David"/>
          <w:b/>
          <w:bCs/>
          <w:color w:val="0070C0"/>
          <w:sz w:val="24"/>
          <w:szCs w:val="24"/>
          <w:u w:val="single"/>
        </w:rPr>
        <w:t>:</w:t>
      </w:r>
    </w:p>
    <w:p w:rsidR="00403CB8" w:rsidRPr="00403CB8" w:rsidRDefault="00403CB8" w:rsidP="00403CB8">
      <w:pPr>
        <w:numPr>
          <w:ilvl w:val="0"/>
          <w:numId w:val="1"/>
        </w:numPr>
        <w:rPr>
          <w:rFonts w:cs="David"/>
          <w:sz w:val="24"/>
          <w:szCs w:val="24"/>
        </w:rPr>
      </w:pPr>
      <w:r w:rsidRPr="00403CB8">
        <w:rPr>
          <w:rFonts w:cs="David"/>
          <w:sz w:val="24"/>
          <w:szCs w:val="24"/>
          <w:rtl/>
        </w:rPr>
        <w:t>יצירת מפרט אחיד של תנאים ומסמכים הנדרשים לצורך קבלת רישיון עסק ממשרדי הממשלה נותני האישור, אשר יפורסם באתר אינטרנט</w:t>
      </w:r>
      <w:r w:rsidRPr="00403CB8">
        <w:rPr>
          <w:rFonts w:cs="David"/>
          <w:sz w:val="24"/>
          <w:szCs w:val="24"/>
        </w:rPr>
        <w:t>.</w:t>
      </w:r>
    </w:p>
    <w:p w:rsidR="00403CB8" w:rsidRPr="00403CB8" w:rsidRDefault="00403CB8" w:rsidP="00403CB8">
      <w:pPr>
        <w:numPr>
          <w:ilvl w:val="0"/>
          <w:numId w:val="1"/>
        </w:numPr>
        <w:rPr>
          <w:rFonts w:cs="David"/>
          <w:sz w:val="24"/>
          <w:szCs w:val="24"/>
        </w:rPr>
      </w:pPr>
      <w:r w:rsidRPr="00403CB8">
        <w:rPr>
          <w:rFonts w:cs="David"/>
          <w:sz w:val="24"/>
          <w:szCs w:val="24"/>
          <w:rtl/>
        </w:rPr>
        <w:t>המפרט האחיד יאפשר למעוניינים להקים עסק לדעת מראש מה נדרש מהם וימנע מצב של חוסר אחידות בדרישות או של סתירות בדרישות של נותני האישור</w:t>
      </w:r>
      <w:r w:rsidRPr="00403CB8">
        <w:rPr>
          <w:rFonts w:cs="David"/>
          <w:sz w:val="24"/>
          <w:szCs w:val="24"/>
        </w:rPr>
        <w:t xml:space="preserve"> .</w:t>
      </w:r>
    </w:p>
    <w:p w:rsidR="00403CB8" w:rsidRPr="00403CB8" w:rsidRDefault="00403CB8" w:rsidP="00403CB8">
      <w:pPr>
        <w:numPr>
          <w:ilvl w:val="0"/>
          <w:numId w:val="1"/>
        </w:numPr>
        <w:rPr>
          <w:rFonts w:cs="David"/>
          <w:sz w:val="24"/>
          <w:szCs w:val="24"/>
        </w:rPr>
      </w:pPr>
      <w:proofErr w:type="spellStart"/>
      <w:r w:rsidRPr="00403CB8">
        <w:rPr>
          <w:rFonts w:cs="David"/>
          <w:sz w:val="24"/>
          <w:szCs w:val="24"/>
          <w:rtl/>
        </w:rPr>
        <w:t>הנגשת</w:t>
      </w:r>
      <w:proofErr w:type="spellEnd"/>
      <w:r w:rsidRPr="00403CB8">
        <w:rPr>
          <w:rFonts w:cs="David"/>
          <w:sz w:val="24"/>
          <w:szCs w:val="24"/>
          <w:rtl/>
        </w:rPr>
        <w:t xml:space="preserve"> המידע: פרסום המסמכים</w:t>
      </w:r>
      <w:r w:rsidRPr="00403CB8">
        <w:rPr>
          <w:rFonts w:cs="David"/>
          <w:sz w:val="24"/>
          <w:szCs w:val="24"/>
        </w:rPr>
        <w:t xml:space="preserve">, </w:t>
      </w:r>
      <w:r w:rsidRPr="00403CB8">
        <w:rPr>
          <w:rFonts w:cs="David"/>
          <w:sz w:val="24"/>
          <w:szCs w:val="24"/>
          <w:rtl/>
        </w:rPr>
        <w:t>התנאים,</w:t>
      </w:r>
      <w:r>
        <w:rPr>
          <w:rFonts w:cs="David" w:hint="cs"/>
          <w:sz w:val="24"/>
          <w:szCs w:val="24"/>
          <w:rtl/>
        </w:rPr>
        <w:t xml:space="preserve"> </w:t>
      </w:r>
      <w:r w:rsidRPr="00403CB8">
        <w:rPr>
          <w:rFonts w:cs="David"/>
          <w:sz w:val="24"/>
          <w:szCs w:val="24"/>
          <w:rtl/>
        </w:rPr>
        <w:t>מדיניות הרשות ודרישות רשויות הרישוי המקומיות (עיריות, מועצות אזוריות, מועצות מקומיות) מסוגי עסקים מסוימים באתר האינטרנט של הרשות, כך שהמעוניינים להקים עסק יוכלו לדעת מראש מה נדרש מהם ואילו מגבלות מטילה רשות הרישוי על עסקים מסוגו</w:t>
      </w:r>
      <w:r w:rsidRPr="00403CB8">
        <w:rPr>
          <w:rFonts w:cs="David"/>
          <w:sz w:val="24"/>
          <w:szCs w:val="24"/>
        </w:rPr>
        <w:t>.</w:t>
      </w:r>
    </w:p>
    <w:p w:rsidR="00403CB8" w:rsidRPr="00403CB8" w:rsidRDefault="00403CB8" w:rsidP="00403CB8">
      <w:pPr>
        <w:numPr>
          <w:ilvl w:val="0"/>
          <w:numId w:val="1"/>
        </w:numPr>
        <w:rPr>
          <w:rFonts w:cs="David"/>
          <w:sz w:val="24"/>
          <w:szCs w:val="24"/>
        </w:rPr>
      </w:pPr>
      <w:r w:rsidRPr="00403CB8">
        <w:rPr>
          <w:rFonts w:cs="David"/>
          <w:sz w:val="24"/>
          <w:szCs w:val="24"/>
          <w:rtl/>
        </w:rPr>
        <w:t>תנאים נוספים שייקבעו לבעלי עסקים יחולו לאחר שלוש שנים או במועד חידוש הרישיון, לפי התאריך המוקדם מבניהם, אלא אם כן לשינוי יש השלכה מועטה על העסק או קיימות נסיבות המחייבות החלת התנאי בדחיפות על-מנת להבטיח את מטרות הרישוי</w:t>
      </w:r>
      <w:r w:rsidRPr="00403CB8">
        <w:rPr>
          <w:rFonts w:cs="David"/>
          <w:sz w:val="24"/>
          <w:szCs w:val="24"/>
        </w:rPr>
        <w:t>.</w:t>
      </w:r>
    </w:p>
    <w:p w:rsidR="00403CB8" w:rsidRPr="00403CB8" w:rsidRDefault="00403CB8" w:rsidP="00403CB8">
      <w:pPr>
        <w:numPr>
          <w:ilvl w:val="0"/>
          <w:numId w:val="1"/>
        </w:numPr>
        <w:rPr>
          <w:rFonts w:cs="David"/>
          <w:sz w:val="24"/>
          <w:szCs w:val="24"/>
        </w:rPr>
      </w:pPr>
      <w:r w:rsidRPr="00403CB8">
        <w:rPr>
          <w:rFonts w:cs="David"/>
          <w:sz w:val="24"/>
          <w:szCs w:val="24"/>
          <w:rtl/>
        </w:rPr>
        <w:t>השגה אפשרות להגיש השגה לגורם הנוגע בעניין על תנאי שהוצב לבעל עסק או מבקש רישיון עסק (לרבות תנאי המופיע במפרט האחיד ולמעט תנאי שנקבע בחיקוק) או על סירוב לתת לו רישיון או שלילת רישיון</w:t>
      </w:r>
      <w:r w:rsidRPr="00403CB8">
        <w:rPr>
          <w:rFonts w:cs="David"/>
          <w:sz w:val="24"/>
          <w:szCs w:val="24"/>
        </w:rPr>
        <w:t>.</w:t>
      </w:r>
    </w:p>
    <w:p w:rsidR="00403CB8" w:rsidRPr="00403CB8" w:rsidRDefault="00403CB8" w:rsidP="00403CB8">
      <w:pPr>
        <w:numPr>
          <w:ilvl w:val="0"/>
          <w:numId w:val="1"/>
        </w:numPr>
        <w:rPr>
          <w:rFonts w:cs="David"/>
          <w:sz w:val="24"/>
          <w:szCs w:val="24"/>
        </w:rPr>
      </w:pPr>
      <w:r w:rsidRPr="00403CB8">
        <w:rPr>
          <w:rFonts w:cs="David"/>
          <w:sz w:val="24"/>
          <w:szCs w:val="24"/>
          <w:rtl/>
        </w:rPr>
        <w:t>הליך רישוי מזורז לעסקים שהסיכון הנשקף מהם קטן, במסגרתו מבקש הרישיון יגיש מראש את המסמכים הנדרשים ויצהיר על עמידתו בתנאים הנדרשים, ויכול להתחיל לפעול תוך כחודש מהגשת הבקשה לאחר קבלת היתר מזורז מרשות הרישוי</w:t>
      </w:r>
      <w:r w:rsidRPr="00403CB8">
        <w:rPr>
          <w:rFonts w:cs="David"/>
          <w:sz w:val="24"/>
          <w:szCs w:val="24"/>
        </w:rPr>
        <w:t>.</w:t>
      </w:r>
    </w:p>
    <w:p w:rsidR="00403CB8" w:rsidRPr="00403CB8" w:rsidRDefault="00403CB8" w:rsidP="00403CB8">
      <w:pPr>
        <w:numPr>
          <w:ilvl w:val="0"/>
          <w:numId w:val="1"/>
        </w:numPr>
        <w:rPr>
          <w:rFonts w:cs="David"/>
          <w:sz w:val="24"/>
          <w:szCs w:val="24"/>
        </w:rPr>
      </w:pPr>
      <w:r w:rsidRPr="00403CB8">
        <w:rPr>
          <w:rFonts w:cs="David"/>
          <w:sz w:val="24"/>
          <w:szCs w:val="24"/>
          <w:rtl/>
        </w:rPr>
        <w:t>עדכון צו רישוי עסקים, הקובע את העסקים טעוני הרישוי , הוארכה תקופת הרישוי לעסקים רבים (ולאחרים קוצרה במקרים בהם מאפייני העסק מחייבים זאת), בוטל הצורך ברישיון לחלק מהעסקים, ובוטל הצורך באישור של חלק מנותני האישור, הכול במידת האפשר</w:t>
      </w:r>
      <w:r w:rsidRPr="00403CB8">
        <w:rPr>
          <w:rFonts w:cs="David"/>
          <w:sz w:val="24"/>
          <w:szCs w:val="24"/>
        </w:rPr>
        <w:t>.</w:t>
      </w:r>
    </w:p>
    <w:p w:rsidR="00403CB8" w:rsidRPr="00403CB8" w:rsidRDefault="00403CB8" w:rsidP="00403CB8">
      <w:pPr>
        <w:numPr>
          <w:ilvl w:val="0"/>
          <w:numId w:val="1"/>
        </w:numPr>
        <w:rPr>
          <w:rFonts w:cs="David"/>
          <w:sz w:val="24"/>
          <w:szCs w:val="24"/>
        </w:rPr>
      </w:pPr>
      <w:r w:rsidRPr="00403CB8">
        <w:rPr>
          <w:rFonts w:cs="David"/>
          <w:sz w:val="24"/>
          <w:szCs w:val="24"/>
          <w:rtl/>
        </w:rPr>
        <w:t>אפשרות להטיל קנסות על עסקים שאינם מקיימים תנאי מתנאי רישיון העסק</w:t>
      </w:r>
      <w:r w:rsidRPr="00403CB8">
        <w:rPr>
          <w:rFonts w:cs="David"/>
          <w:sz w:val="24"/>
          <w:szCs w:val="24"/>
        </w:rPr>
        <w:t>.</w:t>
      </w:r>
    </w:p>
    <w:p w:rsidR="00403CB8" w:rsidRPr="00403CB8" w:rsidRDefault="00403CB8" w:rsidP="00403CB8">
      <w:pPr>
        <w:rPr>
          <w:rFonts w:cs="David"/>
          <w:sz w:val="24"/>
          <w:szCs w:val="24"/>
        </w:rPr>
      </w:pPr>
      <w:r w:rsidRPr="00403CB8">
        <w:rPr>
          <w:rFonts w:cs="David"/>
          <w:sz w:val="24"/>
          <w:szCs w:val="24"/>
        </w:rPr>
        <w:t> </w:t>
      </w:r>
      <w:r w:rsidRPr="00403CB8">
        <w:rPr>
          <w:rFonts w:cs="David"/>
          <w:b/>
          <w:bCs/>
          <w:sz w:val="24"/>
          <w:szCs w:val="24"/>
          <w:rtl/>
        </w:rPr>
        <w:t>שימו לב</w:t>
      </w:r>
      <w:r w:rsidRPr="00403CB8">
        <w:rPr>
          <w:rFonts w:cs="David"/>
          <w:b/>
          <w:bCs/>
          <w:sz w:val="24"/>
          <w:szCs w:val="24"/>
        </w:rPr>
        <w:t>:</w:t>
      </w:r>
    </w:p>
    <w:p w:rsidR="00403CB8" w:rsidRPr="00403CB8" w:rsidRDefault="00403CB8" w:rsidP="00403CB8">
      <w:pPr>
        <w:rPr>
          <w:rFonts w:cs="David"/>
          <w:sz w:val="24"/>
          <w:szCs w:val="24"/>
        </w:rPr>
      </w:pPr>
      <w:r w:rsidRPr="00403CB8">
        <w:rPr>
          <w:rFonts w:cs="David"/>
          <w:sz w:val="24"/>
          <w:szCs w:val="24"/>
          <w:rtl/>
        </w:rPr>
        <w:t>במסגרת המפרט האחיד מפורטים גם תנאים ומסמכים הנדרשים מבעל עסק לפי דברי חקיקה שונים (המכונים "הוראות לצד המפרט האחיד"). חשוב לציין ש"הוראות לצד המפרט האחיד" מחייבות גם אם לא פורטו</w:t>
      </w:r>
      <w:r w:rsidRPr="00403CB8">
        <w:rPr>
          <w:rFonts w:cs="David"/>
          <w:sz w:val="24"/>
          <w:szCs w:val="24"/>
        </w:rPr>
        <w:t xml:space="preserve">, </w:t>
      </w:r>
      <w:r w:rsidRPr="00403CB8">
        <w:rPr>
          <w:rFonts w:cs="David"/>
          <w:sz w:val="24"/>
          <w:szCs w:val="24"/>
          <w:rtl/>
        </w:rPr>
        <w:t>ולכן מומלץ לבדוק במפרט הארצי</w:t>
      </w:r>
      <w:r w:rsidRPr="00403CB8">
        <w:rPr>
          <w:rFonts w:cs="David"/>
          <w:sz w:val="24"/>
          <w:szCs w:val="24"/>
        </w:rPr>
        <w:t>.</w:t>
      </w:r>
    </w:p>
    <w:p w:rsidR="00403CB8" w:rsidRDefault="00403CB8" w:rsidP="00403CB8">
      <w:pPr>
        <w:rPr>
          <w:rFonts w:cs="David" w:hint="cs"/>
          <w:sz w:val="24"/>
          <w:szCs w:val="24"/>
          <w:rtl/>
        </w:rPr>
      </w:pPr>
      <w:r w:rsidRPr="00403CB8">
        <w:rPr>
          <w:rFonts w:cs="David"/>
          <w:sz w:val="24"/>
          <w:szCs w:val="24"/>
          <w:rtl/>
        </w:rPr>
        <w:t>הרפורמה נכנסה לתוקף בהדרגתיות החל מה- 5/11/2013</w:t>
      </w:r>
      <w:r w:rsidRPr="00403CB8">
        <w:rPr>
          <w:rFonts w:cs="David"/>
          <w:sz w:val="24"/>
          <w:szCs w:val="24"/>
        </w:rPr>
        <w:t>.</w:t>
      </w:r>
    </w:p>
    <w:p w:rsidR="00403CB8" w:rsidRPr="00403CB8" w:rsidRDefault="00403CB8" w:rsidP="00403CB8">
      <w:pPr>
        <w:rPr>
          <w:rFonts w:cs="David"/>
          <w:sz w:val="24"/>
          <w:szCs w:val="24"/>
        </w:rPr>
      </w:pPr>
      <w:r>
        <w:rPr>
          <w:rFonts w:cs="David" w:hint="cs"/>
          <w:sz w:val="24"/>
          <w:szCs w:val="24"/>
          <w:rtl/>
        </w:rPr>
        <w:t>למצגת הרפורמה לחץ כאן</w:t>
      </w:r>
    </w:p>
    <w:sectPr w:rsidR="00403CB8" w:rsidRPr="00403CB8" w:rsidSect="00403CB8">
      <w:pgSz w:w="11906" w:h="16838"/>
      <w:pgMar w:top="567" w:right="1800" w:bottom="993"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EA2FB1"/>
    <w:multiLevelType w:val="multilevel"/>
    <w:tmpl w:val="C34CB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CB8"/>
    <w:rsid w:val="002D27E6"/>
    <w:rsid w:val="00403CB8"/>
    <w:rsid w:val="00C11A9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403CB8"/>
    <w:rPr>
      <w:color w:val="0000FF" w:themeColor="hyperlink"/>
      <w:u w:val="single"/>
    </w:rPr>
  </w:style>
  <w:style w:type="character" w:styleId="FollowedHyperlink">
    <w:name w:val="FollowedHyperlink"/>
    <w:basedOn w:val="a0"/>
    <w:uiPriority w:val="99"/>
    <w:semiHidden/>
    <w:unhideWhenUsed/>
    <w:rsid w:val="00403CB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403CB8"/>
    <w:rPr>
      <w:color w:val="0000FF" w:themeColor="hyperlink"/>
      <w:u w:val="single"/>
    </w:rPr>
  </w:style>
  <w:style w:type="character" w:styleId="FollowedHyperlink">
    <w:name w:val="FollowedHyperlink"/>
    <w:basedOn w:val="a0"/>
    <w:uiPriority w:val="99"/>
    <w:semiHidden/>
    <w:unhideWhenUsed/>
    <w:rsid w:val="00403C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859015">
      <w:bodyDiv w:val="1"/>
      <w:marLeft w:val="0"/>
      <w:marRight w:val="0"/>
      <w:marTop w:val="0"/>
      <w:marBottom w:val="0"/>
      <w:divBdr>
        <w:top w:val="none" w:sz="0" w:space="0" w:color="auto"/>
        <w:left w:val="none" w:sz="0" w:space="0" w:color="auto"/>
        <w:bottom w:val="none" w:sz="0" w:space="0" w:color="auto"/>
        <w:right w:val="none" w:sz="0" w:space="0" w:color="auto"/>
      </w:divBdr>
    </w:div>
    <w:div w:id="1529878798">
      <w:bodyDiv w:val="1"/>
      <w:marLeft w:val="0"/>
      <w:marRight w:val="0"/>
      <w:marTop w:val="0"/>
      <w:marBottom w:val="0"/>
      <w:divBdr>
        <w:top w:val="none" w:sz="0" w:space="0" w:color="auto"/>
        <w:left w:val="none" w:sz="0" w:space="0" w:color="auto"/>
        <w:bottom w:val="none" w:sz="0" w:space="0" w:color="auto"/>
        <w:right w:val="none" w:sz="0" w:space="0" w:color="auto"/>
      </w:divBdr>
      <w:divsChild>
        <w:div w:id="343754246">
          <w:marLeft w:val="0"/>
          <w:marRight w:val="0"/>
          <w:marTop w:val="0"/>
          <w:marBottom w:val="0"/>
          <w:divBdr>
            <w:top w:val="none" w:sz="0" w:space="0" w:color="auto"/>
            <w:left w:val="none" w:sz="0" w:space="0" w:color="auto"/>
            <w:bottom w:val="none" w:sz="0" w:space="0" w:color="auto"/>
            <w:right w:val="none" w:sz="0" w:space="0" w:color="auto"/>
          </w:divBdr>
        </w:div>
      </w:divsChild>
    </w:div>
    <w:div w:id="209670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386</Words>
  <Characters>1930</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win 7</cp:lastModifiedBy>
  <cp:revision>1</cp:revision>
  <dcterms:created xsi:type="dcterms:W3CDTF">2017-09-21T11:50:00Z</dcterms:created>
  <dcterms:modified xsi:type="dcterms:W3CDTF">2017-09-21T11:57:00Z</dcterms:modified>
</cp:coreProperties>
</file>